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8CFE9" w14:textId="77777777" w:rsidR="00703796" w:rsidRDefault="007D58FD">
      <w:pPr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t>Diabetes Awareness Month example Social Posts for practice adaptation</w:t>
      </w:r>
    </w:p>
    <w:p w14:paraId="43FCD504" w14:textId="77777777" w:rsidR="00703796" w:rsidRDefault="00703796">
      <w:pPr>
        <w:rPr>
          <w:rFonts w:ascii="Century Gothic" w:hAnsi="Century Gothic"/>
          <w:b/>
          <w:bCs/>
          <w:color w:val="C00000"/>
        </w:rPr>
      </w:pPr>
    </w:p>
    <w:p w14:paraId="5584DD35" w14:textId="77777777" w:rsidR="00703796" w:rsidRDefault="007D58FD">
      <w:pPr>
        <w:rPr>
          <w:rFonts w:ascii="Century Gothic" w:hAnsi="Century Gothic"/>
          <w:b/>
          <w:bCs/>
          <w:color w:val="C00000"/>
          <w:u w:val="single"/>
        </w:rPr>
      </w:pPr>
      <w:r>
        <w:rPr>
          <w:rFonts w:ascii="Century Gothic" w:hAnsi="Century Gothic"/>
          <w:b/>
          <w:bCs/>
          <w:color w:val="C00000"/>
          <w:u w:val="single"/>
        </w:rPr>
        <w:t>Call to action – speak to us (from practice social media account)</w:t>
      </w:r>
    </w:p>
    <w:p w14:paraId="65272387" w14:textId="77777777" w:rsidR="00703796" w:rsidRDefault="00703796">
      <w:pPr>
        <w:rPr>
          <w:rFonts w:ascii="Century Gothic" w:hAnsi="Century Gothic"/>
          <w:b/>
          <w:bCs/>
        </w:rPr>
      </w:pPr>
    </w:p>
    <w:p w14:paraId="298AD3C0" w14:textId="77777777" w:rsidR="00703796" w:rsidRDefault="007D58FD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What is Pet Diabetes? (awareness– video 1)</w:t>
      </w:r>
    </w:p>
    <w:p w14:paraId="4DEA4132" w14:textId="77777777" w:rsidR="00703796" w:rsidRDefault="007D58F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Pet diabetes is a common yet serious illness that can </w:t>
      </w:r>
      <w:r>
        <w:rPr>
          <w:rFonts w:ascii="Century Gothic" w:hAnsi="Century Gothic"/>
        </w:rPr>
        <w:t>affect both cats and dogs. Recognising possible signs of diabetes is crucial, but there are also some steps you can take to reduce the risk.</w:t>
      </w:r>
    </w:p>
    <w:p w14:paraId="2ED3E9D7" w14:textId="77777777" w:rsidR="00703796" w:rsidRDefault="007D58FD">
      <w:r>
        <w:rPr>
          <w:rFonts w:ascii="Century Gothic" w:hAnsi="Century Gothic"/>
          <w:shd w:val="clear" w:color="auto" w:fill="00FFFF"/>
        </w:rPr>
        <w:t>Example Facebook call to action</w:t>
      </w:r>
      <w:r>
        <w:rPr>
          <w:rFonts w:ascii="Century Gothic" w:hAnsi="Century Gothic"/>
        </w:rPr>
        <w:t xml:space="preserve"> - Watch the video to find out how you how to reduce the risk of diabetes in your pe</w:t>
      </w:r>
      <w:r>
        <w:rPr>
          <w:rFonts w:ascii="Century Gothic" w:hAnsi="Century Gothic"/>
        </w:rPr>
        <w:t>t and speak to us for additional information.</w:t>
      </w:r>
    </w:p>
    <w:p w14:paraId="12BEAC4F" w14:textId="77777777" w:rsidR="00703796" w:rsidRDefault="007D58FD">
      <w:r>
        <w:rPr>
          <w:rFonts w:ascii="Century Gothic" w:hAnsi="Century Gothic"/>
          <w:shd w:val="clear" w:color="auto" w:fill="FFFF00"/>
        </w:rPr>
        <w:t>Example Twitter call to action -</w:t>
      </w:r>
      <w:r>
        <w:rPr>
          <w:rFonts w:ascii="Century Gothic" w:hAnsi="Century Gothic"/>
        </w:rPr>
        <w:t xml:space="preserve"> Speak to us about how you to reduce the risks of your pet getting diabetes.</w:t>
      </w:r>
    </w:p>
    <w:p w14:paraId="37E505F3" w14:textId="77777777" w:rsidR="00703796" w:rsidRDefault="007D58FD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Understanding the Risks (prevention– video 2)</w:t>
      </w:r>
    </w:p>
    <w:p w14:paraId="68221E68" w14:textId="77777777" w:rsidR="00703796" w:rsidRDefault="007D58FD">
      <w:pPr>
        <w:rPr>
          <w:rFonts w:ascii="Century Gothic" w:hAnsi="Century Gothic"/>
        </w:rPr>
      </w:pPr>
      <w:r>
        <w:rPr>
          <w:rFonts w:ascii="Century Gothic" w:hAnsi="Century Gothic"/>
        </w:rPr>
        <w:t>Are you aware of the warning signs of pet diabetes? See</w:t>
      </w:r>
      <w:r>
        <w:rPr>
          <w:rFonts w:ascii="Century Gothic" w:hAnsi="Century Gothic"/>
        </w:rPr>
        <w:t>king help early can help you keep your pet healthier and happier for longer.</w:t>
      </w:r>
    </w:p>
    <w:p w14:paraId="7FF56188" w14:textId="77777777" w:rsidR="00703796" w:rsidRDefault="007D58FD">
      <w:pPr>
        <w:rPr>
          <w:rFonts w:ascii="Century Gothic" w:hAnsi="Century Gothic"/>
        </w:rPr>
      </w:pPr>
      <w:r>
        <w:rPr>
          <w:rFonts w:ascii="Century Gothic" w:hAnsi="Century Gothic"/>
        </w:rPr>
        <w:t>If you’ve noticed the symptoms listed in the video, speak to us as soon as possible about carrying out an at-home test.</w:t>
      </w:r>
    </w:p>
    <w:p w14:paraId="03AB91E0" w14:textId="77777777" w:rsidR="00703796" w:rsidRDefault="007D58FD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Home Screening for Pet Diabetes (diagnosis – video 3)</w:t>
      </w:r>
    </w:p>
    <w:p w14:paraId="6807EE67" w14:textId="77777777" w:rsidR="00703796" w:rsidRDefault="007D58FD">
      <w:pPr>
        <w:rPr>
          <w:rFonts w:ascii="Century Gothic" w:hAnsi="Century Gothic"/>
        </w:rPr>
      </w:pPr>
      <w:r>
        <w:rPr>
          <w:rFonts w:ascii="Century Gothic" w:hAnsi="Century Gothic"/>
        </w:rPr>
        <w:t>If yo</w:t>
      </w:r>
      <w:r>
        <w:rPr>
          <w:rFonts w:ascii="Century Gothic" w:hAnsi="Century Gothic"/>
        </w:rPr>
        <w:t>u’ve spotted symptoms of diabetes in your pet, a simple at-home test kit can indicate whether diabetes could be the cause of these problems.</w:t>
      </w:r>
    </w:p>
    <w:p w14:paraId="1351CFD2" w14:textId="77777777" w:rsidR="00703796" w:rsidRDefault="007D58FD">
      <w:pPr>
        <w:rPr>
          <w:rFonts w:ascii="Century Gothic" w:eastAsia="Times New Roman" w:hAnsi="Century Gothic" w:cs="Arial"/>
          <w:color w:val="000000"/>
          <w:lang w:eastAsia="en-GB"/>
        </w:rPr>
      </w:pPr>
      <w:r>
        <w:rPr>
          <w:rFonts w:ascii="Century Gothic" w:eastAsia="Times New Roman" w:hAnsi="Century Gothic" w:cs="Arial"/>
          <w:color w:val="000000"/>
          <w:lang w:eastAsia="en-GB"/>
        </w:rPr>
        <w:t>Watch this video to find out more about early diagnosis or visit us in practice for a free testing kit.</w:t>
      </w:r>
    </w:p>
    <w:p w14:paraId="449E5C11" w14:textId="77777777" w:rsidR="00703796" w:rsidRDefault="007D58FD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Caring for a Diabetic Pet (treatment – video 4)</w:t>
      </w:r>
    </w:p>
    <w:p w14:paraId="0A3EDB89" w14:textId="31B99B22" w:rsidR="00703796" w:rsidRDefault="007D58FD">
      <w:pPr>
        <w:rPr>
          <w:rFonts w:ascii="Century Gothic" w:hAnsi="Century Gothic"/>
        </w:rPr>
      </w:pPr>
      <w:r>
        <w:rPr>
          <w:rFonts w:ascii="Century Gothic" w:hAnsi="Century Gothic"/>
        </w:rPr>
        <w:t>Pet diabetes is serious, but with appropriate care most cases can continue to enjoy happy and healthy lives.</w:t>
      </w:r>
    </w:p>
    <w:p w14:paraId="2878C4B4" w14:textId="77777777" w:rsidR="00703796" w:rsidRDefault="007D58F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To find out more about how we support a high quality of care for diabetic pets speak to us in </w:t>
      </w:r>
      <w:r>
        <w:rPr>
          <w:rFonts w:ascii="Century Gothic" w:hAnsi="Century Gothic"/>
        </w:rPr>
        <w:t>practice.</w:t>
      </w:r>
    </w:p>
    <w:p w14:paraId="3C1EEE21" w14:textId="77777777" w:rsidR="00703796" w:rsidRDefault="00703796"/>
    <w:sectPr w:rsidR="00703796">
      <w:headerReference w:type="default" r:id="rId6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D6CF7" w14:textId="77777777" w:rsidR="00000000" w:rsidRDefault="007D58FD">
      <w:pPr>
        <w:spacing w:after="0" w:line="240" w:lineRule="auto"/>
      </w:pPr>
      <w:r>
        <w:separator/>
      </w:r>
    </w:p>
  </w:endnote>
  <w:endnote w:type="continuationSeparator" w:id="0">
    <w:p w14:paraId="32B3B128" w14:textId="77777777" w:rsidR="00000000" w:rsidRDefault="007D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23F6F" w14:textId="77777777" w:rsidR="00000000" w:rsidRDefault="007D58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3283D4" w14:textId="77777777" w:rsidR="00000000" w:rsidRDefault="007D5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804E0" w14:textId="77777777" w:rsidR="00B6596D" w:rsidRDefault="007D58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D70606" wp14:editId="1D7A138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4" cy="272418"/>
              <wp:effectExtent l="0" t="0" r="0" b="13335"/>
              <wp:wrapNone/>
              <wp:docPr id="1" name="MSIPCMa43a494a8d2ea2718ea7c12d" descr="{&quot;HashCode&quot;:-15890263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4" cy="27241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29DD7BA" w14:textId="62C7A94F" w:rsidR="00B6596D" w:rsidRPr="007D58FD" w:rsidRDefault="007D58FD" w:rsidP="007D58FD">
                          <w:pPr>
                            <w:spacing w:after="0"/>
                            <w:rPr>
                              <w:rFonts w:cs="Calibri"/>
                              <w:color w:val="03C03C"/>
                              <w:sz w:val="24"/>
                            </w:rPr>
                          </w:pPr>
                          <w:r w:rsidRPr="007D58FD">
                            <w:rPr>
                              <w:rFonts w:cs="Calibri"/>
                              <w:color w:val="03C03C"/>
                              <w:sz w:val="24"/>
                            </w:rPr>
                            <w:t>Public</w:t>
                          </w:r>
                        </w:p>
                      </w:txbxContent>
                    </wps:txbx>
                    <wps:bodyPr vert="horz" wrap="square" lIns="254000" tIns="0" rIns="9144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0606" id="_x0000_t202" coordsize="21600,21600" o:spt="202" path="m,l,21600r21600,l21600,xe">
              <v:stroke joinstyle="miter"/>
              <v:path gradientshapeok="t" o:connecttype="rect"/>
            </v:shapetype>
            <v:shape id="MSIPCMa43a494a8d2ea2718ea7c12d" o:spid="_x0000_s1026" type="#_x0000_t202" alt="{&quot;HashCode&quot;:-1589026337,&quot;Height&quot;:841.0,&quot;Width&quot;:595.0,&quot;Placement&quot;:&quot;Header&quot;,&quot;Index&quot;:&quot;Primary&quot;,&quot;Section&quot;:1,&quot;Top&quot;:0.0,&quot;Left&quot;:0.0}" style="position:absolute;margin-left:0;margin-top:15pt;width:595.3pt;height:21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" o:allowincell="f" filled="f" stroked="f">
              <v:textbox inset="20pt,0,,0">
                <w:txbxContent>
                  <w:p w14:paraId="329DD7BA" w14:textId="62C7A94F" w:rsidR="00B6596D" w:rsidRPr="007D58FD" w:rsidRDefault="007D58FD" w:rsidP="007D58FD">
                    <w:pPr>
                      <w:spacing w:after="0"/>
                      <w:rPr>
                        <w:rFonts w:cs="Calibri"/>
                        <w:color w:val="03C03C"/>
                        <w:sz w:val="24"/>
                      </w:rPr>
                    </w:pPr>
                    <w:r w:rsidRPr="007D58FD">
                      <w:rPr>
                        <w:rFonts w:cs="Calibri"/>
                        <w:color w:val="03C03C"/>
                        <w:sz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3796"/>
    <w:rsid w:val="00703796"/>
    <w:rsid w:val="007D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CCFBD"/>
  <w15:docId w15:val="{0D6C6DDF-D5EC-4072-AAD2-517C346C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4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Hunt</dc:creator>
  <dc:description/>
  <cp:lastModifiedBy>Nichols-bunn, Callan</cp:lastModifiedBy>
  <cp:revision>2</cp:revision>
  <dcterms:created xsi:type="dcterms:W3CDTF">2021-11-14T14:05:00Z</dcterms:created>
  <dcterms:modified xsi:type="dcterms:W3CDTF">2021-11-14T14:05:00Z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4a5f65-4bbe-4bbe-bb66-e23e35795661_Enabled">
    <vt:lpwstr>true</vt:lpwstr>
  </property>
  <property fmtid="{D5CDD505-2E9C-101B-9397-08002B2CF9AE}" pid="3" name="MSIP_Label_794a5f65-4bbe-4bbe-bb66-e23e35795661_SetDate">
    <vt:lpwstr>2021-11-14T14:05:09Z</vt:lpwstr>
  </property>
  <property fmtid="{D5CDD505-2E9C-101B-9397-08002B2CF9AE}" pid="4" name="MSIP_Label_794a5f65-4bbe-4bbe-bb66-e23e35795661_Method">
    <vt:lpwstr>Privileged</vt:lpwstr>
  </property>
  <property fmtid="{D5CDD505-2E9C-101B-9397-08002B2CF9AE}" pid="5" name="MSIP_Label_794a5f65-4bbe-4bbe-bb66-e23e35795661_Name">
    <vt:lpwstr>794a5f65-4bbe-4bbe-bb66-e23e35795661</vt:lpwstr>
  </property>
  <property fmtid="{D5CDD505-2E9C-101B-9397-08002B2CF9AE}" pid="6" name="MSIP_Label_794a5f65-4bbe-4bbe-bb66-e23e35795661_SiteId">
    <vt:lpwstr>a00de4ec-48a8-43a6-be74-e31274e2060d</vt:lpwstr>
  </property>
  <property fmtid="{D5CDD505-2E9C-101B-9397-08002B2CF9AE}" pid="7" name="MSIP_Label_794a5f65-4bbe-4bbe-bb66-e23e35795661_ActionId">
    <vt:lpwstr>0bde3247-18b5-42e0-8094-df20166a7798</vt:lpwstr>
  </property>
  <property fmtid="{D5CDD505-2E9C-101B-9397-08002B2CF9AE}" pid="8" name="MSIP_Label_794a5f65-4bbe-4bbe-bb66-e23e35795661_ContentBits">
    <vt:lpwstr>1</vt:lpwstr>
  </property>
  <property fmtid="{D5CDD505-2E9C-101B-9397-08002B2CF9AE}" pid="9" name="MerckAIPLabel">
    <vt:lpwstr>Public</vt:lpwstr>
  </property>
  <property fmtid="{D5CDD505-2E9C-101B-9397-08002B2CF9AE}" pid="10" name="MerckAIPDataExchange">
    <vt:lpwstr>!MRKMIP@Public</vt:lpwstr>
  </property>
</Properties>
</file>